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26FF" w14:textId="173BA749" w:rsidR="008A2B7A" w:rsidRPr="00E849D3" w:rsidRDefault="00617331">
      <w:pPr>
        <w:pStyle w:val="a3"/>
        <w:wordWrap/>
        <w:jc w:val="center"/>
        <w:rPr>
          <w:rFonts w:ascii="游明朝" w:eastAsia="游明朝" w:hAnsi="游明朝"/>
          <w:szCs w:val="20"/>
          <w:lang w:eastAsia="ja-JP"/>
        </w:rPr>
      </w:pPr>
      <w:bookmarkStart w:id="0" w:name="_top"/>
      <w:bookmarkEnd w:id="0"/>
      <w:r w:rsidRPr="00E849D3">
        <w:rPr>
          <w:rFonts w:ascii="游明朝" w:eastAsia="游明朝" w:hAnsi="游明朝"/>
          <w:szCs w:val="20"/>
          <w:lang w:eastAsia="ja-JP"/>
        </w:rPr>
        <w:t>「シンガポール条約(</w:t>
      </w:r>
      <w:r w:rsidR="00832FD5">
        <w:rPr>
          <w:rFonts w:ascii="游明朝" w:eastAsia="游明朝" w:hAnsi="游明朝"/>
          <w:szCs w:val="20"/>
          <w:lang w:eastAsia="ja-JP"/>
        </w:rPr>
        <w:t>調停</w:t>
      </w:r>
      <w:r w:rsidRPr="00E849D3">
        <w:rPr>
          <w:rFonts w:ascii="游明朝" w:eastAsia="游明朝" w:hAnsi="游明朝"/>
          <w:szCs w:val="20"/>
          <w:lang w:eastAsia="ja-JP"/>
        </w:rPr>
        <w:t>条約)の履行」についての</w:t>
      </w:r>
      <w:r w:rsidR="00E849D3">
        <w:rPr>
          <w:rFonts w:ascii="游明朝" w:eastAsia="游明朝" w:hAnsi="游明朝" w:hint="eastAsia"/>
          <w:szCs w:val="20"/>
          <w:lang w:eastAsia="ja-JP"/>
        </w:rPr>
        <w:t>討論</w:t>
      </w:r>
      <w:r w:rsidRPr="00E849D3">
        <w:rPr>
          <w:rFonts w:ascii="游明朝" w:eastAsia="游明朝" w:hAnsi="游明朝"/>
          <w:szCs w:val="20"/>
          <w:lang w:eastAsia="ja-JP"/>
        </w:rPr>
        <w:t>文</w:t>
      </w:r>
    </w:p>
    <w:p w14:paraId="484BD9C1" w14:textId="77777777" w:rsidR="008A2B7A" w:rsidRPr="00E849D3" w:rsidRDefault="008A2B7A">
      <w:pPr>
        <w:pStyle w:val="a3"/>
        <w:rPr>
          <w:rFonts w:ascii="游明朝" w:eastAsia="游明朝" w:hAnsi="游明朝"/>
          <w:szCs w:val="20"/>
          <w:lang w:eastAsia="ja-JP"/>
        </w:rPr>
      </w:pPr>
    </w:p>
    <w:p w14:paraId="20EDA824" w14:textId="77777777" w:rsidR="008A2B7A" w:rsidRPr="00E849D3" w:rsidRDefault="00617331">
      <w:pPr>
        <w:pStyle w:val="a3"/>
        <w:wordWrap/>
        <w:jc w:val="right"/>
        <w:rPr>
          <w:rFonts w:ascii="游明朝" w:eastAsia="游明朝" w:hAnsi="游明朝"/>
          <w:szCs w:val="20"/>
          <w:lang w:eastAsia="ja-JP"/>
        </w:rPr>
      </w:pPr>
      <w:r w:rsidRPr="00E849D3">
        <w:rPr>
          <w:rFonts w:ascii="游明朝" w:eastAsia="游明朝" w:hAnsi="游明朝"/>
          <w:szCs w:val="20"/>
          <w:lang w:eastAsia="ja-JP"/>
        </w:rPr>
        <w:t>カン・ウンヒョン</w:t>
      </w:r>
      <w:r w:rsidRPr="00E849D3">
        <w:rPr>
          <w:rFonts w:ascii="游明朝" w:eastAsia="游明朝" w:hAnsi="游明朝"/>
          <w:szCs w:val="20"/>
          <w:vertAlign w:val="superscript"/>
        </w:rPr>
        <w:footnoteReference w:id="1"/>
      </w:r>
    </w:p>
    <w:p w14:paraId="58583D8D" w14:textId="77777777" w:rsidR="008A2B7A" w:rsidRPr="00E849D3" w:rsidRDefault="008A2B7A">
      <w:pPr>
        <w:pStyle w:val="a3"/>
        <w:rPr>
          <w:rFonts w:ascii="游明朝" w:eastAsia="游明朝" w:hAnsi="游明朝"/>
          <w:szCs w:val="20"/>
          <w:lang w:eastAsia="ja-JP"/>
        </w:rPr>
      </w:pPr>
    </w:p>
    <w:p w14:paraId="4C3E2735" w14:textId="5A7A8C00" w:rsidR="008A2B7A" w:rsidRPr="00E849D3" w:rsidRDefault="00832FD5">
      <w:pPr>
        <w:pStyle w:val="a3"/>
        <w:rPr>
          <w:rFonts w:ascii="游明朝" w:eastAsia="游明朝" w:hAnsi="游明朝"/>
          <w:szCs w:val="20"/>
          <w:lang w:eastAsia="ja-JP"/>
        </w:rPr>
      </w:pPr>
      <w:r>
        <w:rPr>
          <w:rFonts w:ascii="游明朝" w:eastAsia="游明朝" w:hAnsi="游明朝"/>
          <w:szCs w:val="20"/>
          <w:lang w:eastAsia="ja-JP"/>
        </w:rPr>
        <w:t>調停</w:t>
      </w:r>
      <w:r w:rsidR="00617331" w:rsidRPr="00E849D3">
        <w:rPr>
          <w:rFonts w:ascii="游明朝" w:eastAsia="游明朝" w:hAnsi="游明朝"/>
          <w:szCs w:val="20"/>
          <w:lang w:eastAsia="ja-JP"/>
        </w:rPr>
        <w:t>手続を通じて成立した国際当事者間の合意の執行可能性を強化する内容を骨子とするシンガポール条約（以下、「条約」といいます）は、2018年の国連総会で採択され、国連国際商取引法委員会（UNCITRAL）は、条約と同じ内容で2002年モデル法を改正しました。韓国は、2019年8月7日に条約に署名した後、国内法の整備等に関して他に進展がなかったのに対し、</w:t>
      </w:r>
      <w:r w:rsidR="00E849D3">
        <w:rPr>
          <w:rFonts w:ascii="游明朝" w:eastAsia="游明朝" w:hAnsi="游明朝" w:hint="eastAsia"/>
          <w:szCs w:val="20"/>
          <w:lang w:eastAsia="ja-JP"/>
        </w:rPr>
        <w:t>報告</w:t>
      </w:r>
      <w:r w:rsidR="00617331" w:rsidRPr="00E849D3">
        <w:rPr>
          <w:rFonts w:ascii="游明朝" w:eastAsia="游明朝" w:hAnsi="游明朝"/>
          <w:szCs w:val="20"/>
          <w:lang w:eastAsia="ja-JP"/>
        </w:rPr>
        <w:t>において、日本は2023年10月1日に条約に</w:t>
      </w:r>
      <w:r w:rsidR="00E849D3">
        <w:rPr>
          <w:rFonts w:ascii="游明朝" w:eastAsia="游明朝" w:hAnsi="游明朝" w:hint="eastAsia"/>
          <w:szCs w:val="20"/>
          <w:lang w:eastAsia="ja-JP"/>
        </w:rPr>
        <w:t>加入</w:t>
      </w:r>
      <w:r w:rsidR="00617331" w:rsidRPr="00E849D3">
        <w:rPr>
          <w:rFonts w:ascii="游明朝" w:eastAsia="游明朝" w:hAnsi="游明朝"/>
          <w:szCs w:val="20"/>
          <w:lang w:eastAsia="ja-JP"/>
        </w:rPr>
        <w:t>し、国内実施法を制定し、国際商事仲裁・調停の潮流に追いつくことになったと説明</w:t>
      </w:r>
      <w:r w:rsidR="00E849D3">
        <w:rPr>
          <w:rFonts w:ascii="游明朝" w:eastAsia="游明朝" w:hAnsi="游明朝" w:hint="eastAsia"/>
          <w:szCs w:val="20"/>
          <w:lang w:eastAsia="ja-JP"/>
        </w:rPr>
        <w:t>されていました</w:t>
      </w:r>
      <w:r w:rsidR="00617331" w:rsidRPr="00E849D3">
        <w:rPr>
          <w:rFonts w:ascii="游明朝" w:eastAsia="游明朝" w:hAnsi="游明朝"/>
          <w:szCs w:val="20"/>
          <w:lang w:eastAsia="ja-JP"/>
        </w:rPr>
        <w:t>。条約の内容と日本の実施についての具体的な内容は、</w:t>
      </w:r>
      <w:r w:rsidR="00E849D3">
        <w:rPr>
          <w:rFonts w:ascii="游明朝" w:eastAsia="游明朝" w:hAnsi="游明朝" w:hint="eastAsia"/>
          <w:szCs w:val="20"/>
          <w:lang w:eastAsia="ja-JP"/>
        </w:rPr>
        <w:t>報告者</w:t>
      </w:r>
      <w:r w:rsidR="00617331" w:rsidRPr="00E849D3">
        <w:rPr>
          <w:rFonts w:ascii="游明朝" w:eastAsia="游明朝" w:hAnsi="游明朝"/>
          <w:szCs w:val="20"/>
          <w:lang w:eastAsia="ja-JP"/>
        </w:rPr>
        <w:t>が</w:t>
      </w:r>
      <w:r w:rsidR="00E849D3">
        <w:rPr>
          <w:rFonts w:ascii="游明朝" w:eastAsia="游明朝" w:hAnsi="游明朝" w:hint="eastAsia"/>
          <w:szCs w:val="20"/>
          <w:lang w:eastAsia="ja-JP"/>
        </w:rPr>
        <w:t>詳しく</w:t>
      </w:r>
      <w:r w:rsidR="00617331" w:rsidRPr="00E849D3">
        <w:rPr>
          <w:rFonts w:ascii="游明朝" w:eastAsia="游明朝" w:hAnsi="游明朝"/>
          <w:szCs w:val="20"/>
          <w:lang w:eastAsia="ja-JP"/>
        </w:rPr>
        <w:t>説明してくださったので、以下では、</w:t>
      </w:r>
      <w:r w:rsidR="00E849D3">
        <w:rPr>
          <w:rFonts w:ascii="游明朝" w:eastAsia="游明朝" w:hAnsi="游明朝" w:hint="eastAsia"/>
          <w:szCs w:val="20"/>
          <w:lang w:eastAsia="ja-JP"/>
        </w:rPr>
        <w:t>報告</w:t>
      </w:r>
      <w:r w:rsidR="00617331" w:rsidRPr="00E849D3">
        <w:rPr>
          <w:rFonts w:ascii="游明朝" w:eastAsia="游明朝" w:hAnsi="游明朝"/>
          <w:szCs w:val="20"/>
          <w:lang w:eastAsia="ja-JP"/>
        </w:rPr>
        <w:t>に</w:t>
      </w:r>
      <w:r w:rsidR="00E849D3">
        <w:rPr>
          <w:rFonts w:ascii="游明朝" w:eastAsia="游明朝" w:hAnsi="游明朝" w:hint="eastAsia"/>
          <w:szCs w:val="20"/>
          <w:lang w:eastAsia="ja-JP"/>
        </w:rPr>
        <w:t>対して</w:t>
      </w:r>
      <w:r w:rsidR="00617331" w:rsidRPr="00E849D3">
        <w:rPr>
          <w:rFonts w:ascii="游明朝" w:eastAsia="游明朝" w:hAnsi="游明朝"/>
          <w:szCs w:val="20"/>
          <w:lang w:eastAsia="ja-JP"/>
        </w:rPr>
        <w:t>2つ程度の質問をさせていただくことで</w:t>
      </w:r>
      <w:r w:rsidR="00E849D3">
        <w:rPr>
          <w:rFonts w:ascii="游明朝" w:eastAsia="游明朝" w:hAnsi="游明朝" w:hint="eastAsia"/>
          <w:szCs w:val="20"/>
          <w:lang w:eastAsia="ja-JP"/>
        </w:rPr>
        <w:t>討論に代える次第であります</w:t>
      </w:r>
      <w:r w:rsidR="00617331" w:rsidRPr="00E849D3">
        <w:rPr>
          <w:rFonts w:ascii="游明朝" w:eastAsia="游明朝" w:hAnsi="游明朝"/>
          <w:szCs w:val="20"/>
          <w:lang w:eastAsia="ja-JP"/>
        </w:rPr>
        <w:t>。</w:t>
      </w:r>
    </w:p>
    <w:p w14:paraId="0773060E" w14:textId="77777777" w:rsidR="008A2B7A" w:rsidRPr="00E849D3" w:rsidRDefault="008A2B7A">
      <w:pPr>
        <w:pStyle w:val="a3"/>
        <w:rPr>
          <w:rFonts w:ascii="游明朝" w:eastAsia="游明朝" w:hAnsi="游明朝"/>
          <w:szCs w:val="20"/>
          <w:lang w:eastAsia="ja-JP"/>
        </w:rPr>
      </w:pPr>
    </w:p>
    <w:p w14:paraId="62BC0CD8" w14:textId="7479401F" w:rsidR="008A2B7A" w:rsidRPr="00E849D3" w:rsidRDefault="00E849D3">
      <w:pPr>
        <w:pStyle w:val="a3"/>
        <w:rPr>
          <w:rFonts w:ascii="游明朝" w:eastAsia="游明朝" w:hAnsi="游明朝"/>
          <w:szCs w:val="20"/>
          <w:lang w:eastAsia="ja-JP"/>
        </w:rPr>
      </w:pPr>
      <w:r>
        <w:rPr>
          <w:rFonts w:ascii="游明朝" w:eastAsia="游明朝" w:hAnsi="游明朝" w:hint="eastAsia"/>
          <w:szCs w:val="20"/>
          <w:lang w:eastAsia="ja-JP"/>
        </w:rPr>
        <w:t>報告者</w:t>
      </w:r>
      <w:r w:rsidRPr="00E849D3">
        <w:rPr>
          <w:rFonts w:ascii="游明朝" w:eastAsia="游明朝" w:hAnsi="游明朝"/>
          <w:szCs w:val="20"/>
          <w:lang w:eastAsia="ja-JP"/>
        </w:rPr>
        <w:t>は、3頁以下の「（3）執行力付与の影響」の段落で、私的契約である調停による和解合意（以下「調停合意」といいます）に執行力を付与する根拠について、手続の柔軟性とデュープロセスの両立を図ることが当事者の主体的地位と合意の</w:t>
      </w:r>
      <w:r w:rsidR="009B78F5">
        <w:rPr>
          <w:rFonts w:ascii="游明朝" w:eastAsia="游明朝" w:hAnsi="游明朝" w:hint="eastAsia"/>
          <w:szCs w:val="20"/>
          <w:lang w:eastAsia="ja-JP"/>
        </w:rPr>
        <w:t>真意</w:t>
      </w:r>
      <w:r w:rsidRPr="00E849D3">
        <w:rPr>
          <w:rFonts w:ascii="游明朝" w:eastAsia="游明朝" w:hAnsi="游明朝"/>
          <w:szCs w:val="20"/>
          <w:lang w:eastAsia="ja-JP"/>
        </w:rPr>
        <w:t>性を</w:t>
      </w:r>
      <w:r w:rsidR="009B78F5">
        <w:rPr>
          <w:rFonts w:ascii="游明朝" w:eastAsia="游明朝" w:hAnsi="游明朝" w:hint="eastAsia"/>
          <w:szCs w:val="20"/>
          <w:lang w:eastAsia="ja-JP"/>
        </w:rPr>
        <w:t>保障</w:t>
      </w:r>
      <w:r w:rsidRPr="00E849D3">
        <w:rPr>
          <w:rFonts w:ascii="游明朝" w:eastAsia="游明朝" w:hAnsi="游明朝"/>
          <w:szCs w:val="20"/>
          <w:lang w:eastAsia="ja-JP"/>
        </w:rPr>
        <w:t>するための基本的要請であると説明され、B2B紛争であれば、調停</w:t>
      </w:r>
      <w:r w:rsidR="009B78F5">
        <w:rPr>
          <w:rFonts w:ascii="游明朝" w:eastAsia="游明朝" w:hAnsi="游明朝" w:hint="eastAsia"/>
          <w:szCs w:val="20"/>
          <w:lang w:eastAsia="ja-JP"/>
        </w:rPr>
        <w:t>人</w:t>
      </w:r>
      <w:r w:rsidRPr="00E849D3">
        <w:rPr>
          <w:rFonts w:ascii="游明朝" w:eastAsia="游明朝" w:hAnsi="游明朝"/>
          <w:szCs w:val="20"/>
          <w:lang w:eastAsia="ja-JP"/>
        </w:rPr>
        <w:t>の関与の仕方を個別的な合意で決定することも考えられるとされていましたが、調停自体が持つ柔軟性や効率性などの特性から、調停に執行力を</w:t>
      </w:r>
      <w:r w:rsidR="009B78F5">
        <w:rPr>
          <w:rFonts w:ascii="游明朝" w:eastAsia="游明朝" w:hAnsi="游明朝" w:hint="eastAsia"/>
          <w:szCs w:val="20"/>
          <w:lang w:eastAsia="ja-JP"/>
        </w:rPr>
        <w:t>付与するた</w:t>
      </w:r>
      <w:r w:rsidRPr="00E849D3">
        <w:rPr>
          <w:rFonts w:ascii="游明朝" w:eastAsia="游明朝" w:hAnsi="游明朝"/>
          <w:szCs w:val="20"/>
          <w:lang w:eastAsia="ja-JP"/>
        </w:rPr>
        <w:t>めにも、基本的な調停手続の枠組みは必要ではないかというのが私見です。B2B紛争を例に挙げ</w:t>
      </w:r>
      <w:r w:rsidR="009B78F5">
        <w:rPr>
          <w:rFonts w:ascii="游明朝" w:eastAsia="游明朝" w:hAnsi="游明朝" w:hint="eastAsia"/>
          <w:szCs w:val="20"/>
          <w:lang w:eastAsia="ja-JP"/>
        </w:rPr>
        <w:t>ておりましたが</w:t>
      </w:r>
      <w:r w:rsidRPr="00E849D3">
        <w:rPr>
          <w:rFonts w:ascii="游明朝" w:eastAsia="游明朝" w:hAnsi="游明朝"/>
          <w:szCs w:val="20"/>
          <w:lang w:eastAsia="ja-JP"/>
        </w:rPr>
        <w:t>、個別的な合意で調停委員の関与の方法を決め</w:t>
      </w:r>
      <w:r w:rsidR="009B78F5">
        <w:rPr>
          <w:rFonts w:ascii="游明朝" w:eastAsia="游明朝" w:hAnsi="游明朝" w:hint="eastAsia"/>
          <w:szCs w:val="20"/>
          <w:lang w:eastAsia="ja-JP"/>
        </w:rPr>
        <w:t>るとしても、</w:t>
      </w:r>
      <w:r w:rsidRPr="00E849D3">
        <w:rPr>
          <w:rFonts w:ascii="游明朝" w:eastAsia="游明朝" w:hAnsi="游明朝"/>
          <w:szCs w:val="20"/>
          <w:lang w:eastAsia="ja-JP"/>
        </w:rPr>
        <w:t>その調停に</w:t>
      </w:r>
      <w:r w:rsidR="009B78F5">
        <w:rPr>
          <w:rFonts w:ascii="游明朝" w:eastAsia="游明朝" w:hAnsi="游明朝" w:hint="eastAsia"/>
          <w:szCs w:val="20"/>
          <w:lang w:eastAsia="ja-JP"/>
        </w:rPr>
        <w:t>ついて</w:t>
      </w:r>
      <w:r w:rsidRPr="00E849D3">
        <w:rPr>
          <w:rFonts w:ascii="游明朝" w:eastAsia="游明朝" w:hAnsi="游明朝"/>
          <w:szCs w:val="20"/>
          <w:lang w:eastAsia="ja-JP"/>
        </w:rPr>
        <w:t>実体的</w:t>
      </w:r>
      <w:r w:rsidR="009B78F5">
        <w:rPr>
          <w:rFonts w:ascii="游明朝" w:eastAsia="游明朝" w:hAnsi="游明朝" w:hint="eastAsia"/>
          <w:szCs w:val="20"/>
          <w:lang w:eastAsia="ja-JP"/>
        </w:rPr>
        <w:t>、</w:t>
      </w:r>
      <w:r w:rsidRPr="00E849D3">
        <w:rPr>
          <w:rFonts w:ascii="游明朝" w:eastAsia="游明朝" w:hAnsi="游明朝"/>
          <w:szCs w:val="20"/>
          <w:lang w:eastAsia="ja-JP"/>
        </w:rPr>
        <w:t>手続的正当性を付与できる</w:t>
      </w:r>
      <w:r w:rsidR="009B78F5">
        <w:rPr>
          <w:rFonts w:ascii="游明朝" w:eastAsia="游明朝" w:hAnsi="游明朝" w:hint="eastAsia"/>
          <w:szCs w:val="20"/>
          <w:lang w:eastAsia="ja-JP"/>
        </w:rPr>
        <w:t>(</w:t>
      </w:r>
      <w:r w:rsidR="009B78F5" w:rsidRPr="00E849D3">
        <w:rPr>
          <w:rFonts w:ascii="游明朝" w:eastAsia="游明朝" w:hAnsi="游明朝"/>
          <w:szCs w:val="20"/>
          <w:lang w:eastAsia="ja-JP"/>
        </w:rPr>
        <w:t>5</w:t>
      </w:r>
      <w:r w:rsidR="009B78F5">
        <w:rPr>
          <w:rFonts w:ascii="游明朝" w:eastAsia="游明朝" w:hAnsi="游明朝" w:hint="eastAsia"/>
          <w:szCs w:val="20"/>
          <w:lang w:eastAsia="ja-JP"/>
        </w:rPr>
        <w:t>頁</w:t>
      </w:r>
      <w:r w:rsidR="009B78F5" w:rsidRPr="00E849D3">
        <w:rPr>
          <w:rFonts w:ascii="游明朝" w:eastAsia="游明朝" w:hAnsi="游明朝"/>
          <w:szCs w:val="20"/>
          <w:lang w:eastAsia="ja-JP"/>
        </w:rPr>
        <w:t>で</w:t>
      </w:r>
      <w:r w:rsidR="009B78F5">
        <w:rPr>
          <w:rFonts w:ascii="游明朝" w:eastAsia="游明朝" w:hAnsi="游明朝" w:hint="eastAsia"/>
          <w:szCs w:val="20"/>
          <w:lang w:eastAsia="ja-JP"/>
        </w:rPr>
        <w:t>説明してくださった調停人による担保)場合の</w:t>
      </w:r>
      <w:r w:rsidRPr="00E849D3">
        <w:rPr>
          <w:rFonts w:ascii="游明朝" w:eastAsia="游明朝" w:hAnsi="游明朝"/>
          <w:szCs w:val="20"/>
          <w:lang w:eastAsia="ja-JP"/>
        </w:rPr>
        <w:t>例を、より具体的に教えていただけます</w:t>
      </w:r>
      <w:r w:rsidR="009B78F5">
        <w:rPr>
          <w:rFonts w:ascii="游明朝" w:eastAsia="游明朝" w:hAnsi="游明朝" w:hint="eastAsia"/>
          <w:szCs w:val="20"/>
          <w:lang w:eastAsia="ja-JP"/>
        </w:rPr>
        <w:t>でしょう</w:t>
      </w:r>
      <w:r w:rsidRPr="00E849D3">
        <w:rPr>
          <w:rFonts w:ascii="游明朝" w:eastAsia="游明朝" w:hAnsi="游明朝"/>
          <w:szCs w:val="20"/>
          <w:lang w:eastAsia="ja-JP"/>
        </w:rPr>
        <w:t xml:space="preserve">か。 </w:t>
      </w:r>
    </w:p>
    <w:p w14:paraId="6345986D" w14:textId="77777777" w:rsidR="008A2B7A" w:rsidRPr="00E849D3" w:rsidRDefault="008A2B7A">
      <w:pPr>
        <w:pStyle w:val="a3"/>
        <w:rPr>
          <w:rFonts w:ascii="游明朝" w:eastAsia="游明朝" w:hAnsi="游明朝"/>
          <w:szCs w:val="20"/>
          <w:lang w:eastAsia="ja-JP"/>
        </w:rPr>
      </w:pPr>
    </w:p>
    <w:p w14:paraId="7FF58541" w14:textId="4FC9DD75" w:rsidR="008A2B7A" w:rsidRPr="00E849D3" w:rsidRDefault="00617331">
      <w:pPr>
        <w:pStyle w:val="a3"/>
        <w:rPr>
          <w:rFonts w:ascii="游明朝" w:eastAsia="游明朝" w:hAnsi="游明朝"/>
          <w:szCs w:val="20"/>
          <w:lang w:eastAsia="ja-JP"/>
        </w:rPr>
      </w:pPr>
      <w:r w:rsidRPr="00E849D3">
        <w:rPr>
          <w:rFonts w:ascii="游明朝" w:eastAsia="游明朝" w:hAnsi="游明朝"/>
          <w:szCs w:val="20"/>
          <w:lang w:eastAsia="ja-JP"/>
        </w:rPr>
        <w:lastRenderedPageBreak/>
        <w:t>次に、7頁以下で、</w:t>
      </w:r>
      <w:r w:rsidR="009B78F5">
        <w:rPr>
          <w:rFonts w:ascii="游明朝" w:eastAsia="游明朝" w:hAnsi="游明朝" w:hint="eastAsia"/>
          <w:szCs w:val="20"/>
          <w:lang w:eastAsia="ja-JP"/>
        </w:rPr>
        <w:t>報告者</w:t>
      </w:r>
      <w:r w:rsidRPr="00E849D3">
        <w:rPr>
          <w:rFonts w:ascii="游明朝" w:eastAsia="游明朝" w:hAnsi="游明朝"/>
          <w:szCs w:val="20"/>
          <w:lang w:eastAsia="ja-JP"/>
        </w:rPr>
        <w:t>は、</w:t>
      </w:r>
      <w:r w:rsidR="00832FD5">
        <w:rPr>
          <w:rFonts w:ascii="游明朝" w:eastAsia="游明朝" w:hAnsi="游明朝"/>
          <w:szCs w:val="20"/>
          <w:lang w:eastAsia="ja-JP"/>
        </w:rPr>
        <w:t>調停</w:t>
      </w:r>
      <w:r w:rsidRPr="00E849D3">
        <w:rPr>
          <w:rFonts w:ascii="游明朝" w:eastAsia="游明朝" w:hAnsi="游明朝"/>
          <w:szCs w:val="20"/>
          <w:lang w:eastAsia="ja-JP"/>
        </w:rPr>
        <w:t>合意に執行力を付与する方法に</w:t>
      </w:r>
      <w:r w:rsidR="009B78F5">
        <w:rPr>
          <w:rFonts w:ascii="游明朝" w:eastAsia="游明朝" w:hAnsi="游明朝" w:hint="eastAsia"/>
          <w:szCs w:val="20"/>
          <w:lang w:eastAsia="ja-JP"/>
        </w:rPr>
        <w:t>関して</w:t>
      </w:r>
      <w:r w:rsidRPr="00E849D3">
        <w:rPr>
          <w:rFonts w:ascii="游明朝" w:eastAsia="游明朝" w:hAnsi="游明朝"/>
          <w:szCs w:val="20"/>
          <w:lang w:eastAsia="ja-JP"/>
        </w:rPr>
        <w:t>、執行決定手続</w:t>
      </w:r>
      <w:r w:rsidR="009B78F5">
        <w:rPr>
          <w:rFonts w:ascii="游明朝" w:eastAsia="游明朝" w:hAnsi="游明朝" w:hint="eastAsia"/>
          <w:szCs w:val="20"/>
          <w:lang w:eastAsia="ja-JP"/>
        </w:rPr>
        <w:t>についてふれております</w:t>
      </w:r>
      <w:r w:rsidRPr="00E849D3">
        <w:rPr>
          <w:rFonts w:ascii="游明朝" w:eastAsia="游明朝" w:hAnsi="游明朝"/>
          <w:szCs w:val="20"/>
          <w:lang w:eastAsia="ja-JP"/>
        </w:rPr>
        <w:t>。調停合意により</w:t>
      </w:r>
      <w:r w:rsidR="00743BEB">
        <w:rPr>
          <w:rFonts w:ascii="游明朝" w:eastAsia="游明朝" w:hAnsi="游明朝" w:hint="eastAsia"/>
          <w:szCs w:val="20"/>
          <w:lang w:eastAsia="ja-JP"/>
        </w:rPr>
        <w:t>、</w:t>
      </w:r>
      <w:r w:rsidR="00743BEB" w:rsidRPr="00E849D3">
        <w:rPr>
          <w:rFonts w:ascii="游明朝" w:eastAsia="游明朝" w:hAnsi="游明朝"/>
          <w:szCs w:val="20"/>
          <w:lang w:eastAsia="ja-JP"/>
        </w:rPr>
        <w:t>判決と</w:t>
      </w:r>
      <w:r w:rsidR="00743BEB">
        <w:rPr>
          <w:rFonts w:ascii="游明朝" w:eastAsia="游明朝" w:hAnsi="游明朝" w:hint="eastAsia"/>
          <w:szCs w:val="20"/>
          <w:lang w:eastAsia="ja-JP"/>
        </w:rPr>
        <w:t>比べて</w:t>
      </w:r>
      <w:r w:rsidRPr="00E849D3">
        <w:rPr>
          <w:rFonts w:ascii="游明朝" w:eastAsia="游明朝" w:hAnsi="游明朝"/>
          <w:szCs w:val="20"/>
          <w:lang w:eastAsia="ja-JP"/>
        </w:rPr>
        <w:t>広</w:t>
      </w:r>
      <w:r w:rsidR="00066F95">
        <w:rPr>
          <w:rFonts w:ascii="游明朝" w:eastAsia="游明朝" w:hAnsi="游明朝" w:hint="eastAsia"/>
          <w:szCs w:val="20"/>
          <w:lang w:eastAsia="ja-JP"/>
        </w:rPr>
        <w:t>範囲の</w:t>
      </w:r>
      <w:r w:rsidRPr="00E849D3">
        <w:rPr>
          <w:rFonts w:ascii="游明朝" w:eastAsia="游明朝" w:hAnsi="游明朝"/>
          <w:szCs w:val="20"/>
          <w:lang w:eastAsia="ja-JP"/>
        </w:rPr>
        <w:t>執行力</w:t>
      </w:r>
      <w:r w:rsidR="00066F95">
        <w:rPr>
          <w:rFonts w:ascii="游明朝" w:eastAsia="游明朝" w:hAnsi="游明朝" w:hint="eastAsia"/>
          <w:szCs w:val="20"/>
          <w:lang w:eastAsia="ja-JP"/>
        </w:rPr>
        <w:t>が</w:t>
      </w:r>
      <w:r w:rsidRPr="00E849D3">
        <w:rPr>
          <w:rFonts w:ascii="游明朝" w:eastAsia="游明朝" w:hAnsi="游明朝"/>
          <w:szCs w:val="20"/>
          <w:lang w:eastAsia="ja-JP"/>
        </w:rPr>
        <w:t>付与</w:t>
      </w:r>
      <w:r w:rsidR="00066F95">
        <w:rPr>
          <w:rFonts w:ascii="游明朝" w:eastAsia="游明朝" w:hAnsi="游明朝" w:hint="eastAsia"/>
          <w:szCs w:val="20"/>
          <w:lang w:eastAsia="ja-JP"/>
        </w:rPr>
        <w:t>される可能性もあり</w:t>
      </w:r>
      <w:r w:rsidRPr="00E849D3">
        <w:rPr>
          <w:rFonts w:ascii="游明朝" w:eastAsia="游明朝" w:hAnsi="游明朝"/>
          <w:szCs w:val="20"/>
          <w:lang w:eastAsia="ja-JP"/>
        </w:rPr>
        <w:t>、執行力を当事者間の合意のみに委ねる場合、公序良俗に反し、一方に過度に過酷になる場合も考えられます。 執行決定手続において、一部承認などを通じて執行力の範囲を制限しようとする試みが必要なのか、執行段階で執行力の範囲を制限することが可能なのか、あるいは現実的な制度的解決方法は何かについて、</w:t>
      </w:r>
      <w:r w:rsidR="00066F95">
        <w:rPr>
          <w:rFonts w:ascii="游明朝" w:eastAsia="游明朝" w:hAnsi="游明朝" w:hint="eastAsia"/>
          <w:szCs w:val="20"/>
          <w:lang w:eastAsia="ja-JP"/>
        </w:rPr>
        <w:t>報告者のご高見を承りたいと存じます。</w:t>
      </w:r>
    </w:p>
    <w:p w14:paraId="090611E4" w14:textId="77777777" w:rsidR="008A2B7A" w:rsidRPr="00E849D3" w:rsidRDefault="008A2B7A">
      <w:pPr>
        <w:pStyle w:val="a3"/>
        <w:rPr>
          <w:rFonts w:ascii="游明朝" w:eastAsia="游明朝" w:hAnsi="游明朝"/>
          <w:szCs w:val="20"/>
          <w:lang w:eastAsia="ja-JP"/>
        </w:rPr>
      </w:pPr>
    </w:p>
    <w:p w14:paraId="48E9144C" w14:textId="021B7DBA" w:rsidR="008A2B7A" w:rsidRDefault="00617331">
      <w:pPr>
        <w:pStyle w:val="a3"/>
        <w:rPr>
          <w:rFonts w:ascii="游明朝" w:eastAsia="游明朝" w:hAnsi="游明朝"/>
          <w:szCs w:val="20"/>
          <w:lang w:eastAsia="ja-JP"/>
        </w:rPr>
      </w:pPr>
      <w:r w:rsidRPr="00E849D3">
        <w:rPr>
          <w:rFonts w:ascii="游明朝" w:eastAsia="游明朝" w:hAnsi="游明朝"/>
          <w:szCs w:val="20"/>
          <w:lang w:eastAsia="ja-JP"/>
        </w:rPr>
        <w:t>よくまとめられた</w:t>
      </w:r>
      <w:r w:rsidR="00066F95">
        <w:rPr>
          <w:rFonts w:ascii="游明朝" w:eastAsia="游明朝" w:hAnsi="游明朝" w:hint="eastAsia"/>
          <w:szCs w:val="20"/>
          <w:lang w:eastAsia="ja-JP"/>
        </w:rPr>
        <w:t>報告</w:t>
      </w:r>
      <w:r w:rsidRPr="00E849D3">
        <w:rPr>
          <w:rFonts w:ascii="游明朝" w:eastAsia="游明朝" w:hAnsi="游明朝"/>
          <w:szCs w:val="20"/>
          <w:lang w:eastAsia="ja-JP"/>
        </w:rPr>
        <w:t>のおかげで、短時間で多くの内容を理解することができました。</w:t>
      </w:r>
      <w:r w:rsidR="00066F95">
        <w:rPr>
          <w:rFonts w:ascii="游明朝" w:eastAsia="游明朝" w:hAnsi="游明朝" w:hint="eastAsia"/>
          <w:szCs w:val="20"/>
          <w:lang w:eastAsia="ja-JP"/>
        </w:rPr>
        <w:t>報告者である山田文先生の深い</w:t>
      </w:r>
      <w:r w:rsidRPr="00E849D3">
        <w:rPr>
          <w:rFonts w:ascii="游明朝" w:eastAsia="游明朝" w:hAnsi="游明朝"/>
          <w:szCs w:val="20"/>
          <w:lang w:eastAsia="ja-JP"/>
        </w:rPr>
        <w:t>洞察とご</w:t>
      </w:r>
      <w:r w:rsidR="00066F95">
        <w:rPr>
          <w:rFonts w:ascii="游明朝" w:eastAsia="游明朝" w:hAnsi="游明朝" w:hint="eastAsia"/>
          <w:szCs w:val="20"/>
          <w:lang w:eastAsia="ja-JP"/>
        </w:rPr>
        <w:t>尽力</w:t>
      </w:r>
      <w:r w:rsidRPr="00E849D3">
        <w:rPr>
          <w:rFonts w:ascii="游明朝" w:eastAsia="游明朝" w:hAnsi="游明朝"/>
          <w:szCs w:val="20"/>
          <w:lang w:eastAsia="ja-JP"/>
        </w:rPr>
        <w:t>に</w:t>
      </w:r>
      <w:r w:rsidR="00066F95">
        <w:rPr>
          <w:rFonts w:ascii="游明朝" w:eastAsia="游明朝" w:hAnsi="游明朝" w:hint="eastAsia"/>
          <w:szCs w:val="20"/>
          <w:lang w:eastAsia="ja-JP"/>
        </w:rPr>
        <w:t>感謝申し上げます。</w:t>
      </w:r>
      <w:r w:rsidRPr="00E849D3">
        <w:rPr>
          <w:rFonts w:ascii="游明朝" w:eastAsia="游明朝" w:hAnsi="游明朝"/>
          <w:szCs w:val="20"/>
          <w:lang w:eastAsia="ja-JP"/>
        </w:rPr>
        <w:t xml:space="preserve"> </w:t>
      </w:r>
    </w:p>
    <w:p w14:paraId="43671BB8" w14:textId="77777777" w:rsidR="00D82C37" w:rsidRDefault="00D82C37">
      <w:pPr>
        <w:pStyle w:val="a3"/>
        <w:rPr>
          <w:rFonts w:ascii="游明朝" w:eastAsia="游明朝" w:hAnsi="游明朝"/>
          <w:szCs w:val="20"/>
          <w:lang w:eastAsia="ja-JP"/>
        </w:rPr>
      </w:pPr>
    </w:p>
    <w:p w14:paraId="3E210351" w14:textId="73A2B0D7" w:rsidR="00D82C37" w:rsidRPr="00E849D3" w:rsidRDefault="00D82C37" w:rsidP="00D82C37">
      <w:pPr>
        <w:pStyle w:val="a3"/>
        <w:ind w:firstLineChars="3400" w:firstLine="6800"/>
        <w:rPr>
          <w:rFonts w:ascii="游明朝" w:eastAsia="游明朝" w:hAnsi="游明朝"/>
          <w:szCs w:val="20"/>
          <w:lang w:eastAsia="ja-JP"/>
        </w:rPr>
      </w:pPr>
      <w:r>
        <w:rPr>
          <w:rFonts w:ascii="游明朝" w:eastAsia="游明朝" w:hAnsi="游明朝" w:hint="eastAsia"/>
          <w:szCs w:val="20"/>
          <w:lang w:eastAsia="ja-JP"/>
        </w:rPr>
        <w:t xml:space="preserve">※翻訳　</w:t>
      </w:r>
      <w:r w:rsidRPr="00D82C37">
        <w:rPr>
          <w:rFonts w:ascii="游明朝" w:eastAsia="游明朝" w:hAnsi="游明朝" w:hint="eastAsia"/>
          <w:szCs w:val="20"/>
          <w:lang w:eastAsia="ja-JP"/>
        </w:rPr>
        <w:t>崔廷任</w:t>
      </w:r>
    </w:p>
    <w:sectPr w:rsidR="00D82C37" w:rsidRPr="00E849D3">
      <w:footnotePr>
        <w:numFmt w:val="lowerRoman"/>
        <w:numRestart w:val="eachPage"/>
      </w:footnotePr>
      <w:endnotePr>
        <w:numFmt w:val="decimal"/>
      </w:endnotePr>
      <w:pgSz w:w="11906" w:h="16837"/>
      <w:pgMar w:top="1984" w:right="1701" w:bottom="1701" w:left="1701"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AF7B" w14:textId="77777777" w:rsidR="00BE276F" w:rsidRDefault="00BE276F">
      <w:pPr>
        <w:spacing w:after="0"/>
      </w:pPr>
      <w:r>
        <w:separator/>
      </w:r>
    </w:p>
  </w:endnote>
  <w:endnote w:type="continuationSeparator" w:id="0">
    <w:p w14:paraId="3A80926F" w14:textId="77777777" w:rsidR="00BE276F" w:rsidRDefault="00BE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charset w:val="81"/>
    <w:family w:val="roman"/>
    <w:pitch w:val="variable"/>
    <w:sig w:usb0="F7002EFF" w:usb1="19DFFFFF" w:usb2="001BFDD7" w:usb3="00000000" w:csb0="001F01FF" w:csb1="00000000"/>
  </w:font>
  <w:font w:name="함초롬돋움">
    <w:charset w:val="81"/>
    <w:family w:val="modern"/>
    <w:pitch w:val="variable"/>
    <w:sig w:usb0="F7002EFF" w:usb1="19DFFFFF" w:usb2="001BFDD7" w:usb3="00000000" w:csb0="001F007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62E0" w14:textId="77777777" w:rsidR="00BE276F" w:rsidRDefault="00BE276F">
      <w:pPr>
        <w:spacing w:after="0"/>
      </w:pPr>
      <w:r>
        <w:separator/>
      </w:r>
    </w:p>
  </w:footnote>
  <w:footnote w:type="continuationSeparator" w:id="0">
    <w:p w14:paraId="0FF5188E" w14:textId="77777777" w:rsidR="00BE276F" w:rsidRDefault="00BE276F">
      <w:pPr>
        <w:spacing w:after="0"/>
      </w:pPr>
      <w:r>
        <w:continuationSeparator/>
      </w:r>
    </w:p>
  </w:footnote>
  <w:footnote w:id="1">
    <w:p w14:paraId="43045511" w14:textId="3E796C94" w:rsidR="008A2B7A" w:rsidRPr="00E849D3" w:rsidRDefault="00617331">
      <w:pPr>
        <w:pStyle w:val="a7"/>
        <w:rPr>
          <w:rFonts w:ascii="游明朝" w:eastAsia="游明朝" w:hAnsi="游明朝"/>
          <w:lang w:eastAsia="ja-JP"/>
        </w:rPr>
      </w:pPr>
      <w:r w:rsidRPr="00E849D3">
        <w:rPr>
          <w:rFonts w:ascii="游明朝" w:eastAsia="游明朝" w:hAnsi="游明朝"/>
          <w:vertAlign w:val="superscript"/>
        </w:rPr>
        <w:footnoteRef/>
      </w:r>
      <w:r w:rsidRPr="00E849D3">
        <w:rPr>
          <w:rFonts w:ascii="游明朝" w:eastAsia="游明朝" w:hAnsi="游明朝"/>
          <w:lang w:eastAsia="ja-JP"/>
        </w:rPr>
        <w:t xml:space="preserve"> ソウル市立大学法学専門大学院教授、弁護士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7476"/>
    <w:multiLevelType w:val="multilevel"/>
    <w:tmpl w:val="67B8780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8"/>
      <w:suff w:val="space"/>
      <w:lvlText w:val="%7"/>
      <w:lvlJc w:val="left"/>
    </w:lvl>
    <w:lvl w:ilvl="7">
      <w:numFmt w:val="decimal"/>
      <w:lvlText w:val=""/>
      <w:lvlJc w:val="left"/>
    </w:lvl>
    <w:lvl w:ilvl="8">
      <w:numFmt w:val="decimal"/>
      <w:lvlText w:val=""/>
      <w:lvlJc w:val="left"/>
    </w:lvl>
  </w:abstractNum>
  <w:abstractNum w:abstractNumId="1" w15:restartNumberingAfterBreak="0">
    <w:nsid w:val="0A4E018D"/>
    <w:multiLevelType w:val="multilevel"/>
    <w:tmpl w:val="34BC7E12"/>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10AE0CB1"/>
    <w:multiLevelType w:val="multilevel"/>
    <w:tmpl w:val="1CF2CD96"/>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194363F1"/>
    <w:multiLevelType w:val="multilevel"/>
    <w:tmpl w:val="C8FCF3C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2B4D6F33"/>
    <w:multiLevelType w:val="multilevel"/>
    <w:tmpl w:val="AFA4AE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3A4C22FB"/>
    <w:multiLevelType w:val="multilevel"/>
    <w:tmpl w:val="585669C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10"/>
      <w:suff w:val="space"/>
      <w:lvlText w:val="%7"/>
      <w:lvlJc w:val="left"/>
    </w:lvl>
    <w:lvl w:ilvl="7">
      <w:numFmt w:val="decimal"/>
      <w:lvlText w:val=""/>
      <w:lvlJc w:val="left"/>
    </w:lvl>
    <w:lvl w:ilvl="8">
      <w:numFmt w:val="decimal"/>
      <w:lvlText w:val=""/>
      <w:lvlJc w:val="left"/>
    </w:lvl>
  </w:abstractNum>
  <w:abstractNum w:abstractNumId="6" w15:restartNumberingAfterBreak="0">
    <w:nsid w:val="533B3B5A"/>
    <w:multiLevelType w:val="multilevel"/>
    <w:tmpl w:val="3918973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9"/>
      <w:suff w:val="space"/>
      <w:lvlText w:val="%7"/>
      <w:lvlJc w:val="left"/>
    </w:lvl>
    <w:lvl w:ilvl="7">
      <w:numFmt w:val="decimal"/>
      <w:lvlText w:val=""/>
      <w:lvlJc w:val="left"/>
    </w:lvl>
    <w:lvl w:ilvl="8">
      <w:numFmt w:val="decimal"/>
      <w:lvlText w:val=""/>
      <w:lvlJc w:val="left"/>
    </w:lvl>
  </w:abstractNum>
  <w:abstractNum w:abstractNumId="7" w15:restartNumberingAfterBreak="0">
    <w:nsid w:val="587A7916"/>
    <w:multiLevelType w:val="multilevel"/>
    <w:tmpl w:val="1F78A5D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8" w15:restartNumberingAfterBreak="0">
    <w:nsid w:val="68263D4C"/>
    <w:multiLevelType w:val="multilevel"/>
    <w:tmpl w:val="A588D7D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9" w15:restartNumberingAfterBreak="0">
    <w:nsid w:val="77570853"/>
    <w:multiLevelType w:val="multilevel"/>
    <w:tmpl w:val="1AF0D67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16cid:durableId="1567253686">
    <w:abstractNumId w:val="3"/>
  </w:num>
  <w:num w:numId="2" w16cid:durableId="910702407">
    <w:abstractNumId w:val="2"/>
  </w:num>
  <w:num w:numId="3" w16cid:durableId="321394810">
    <w:abstractNumId w:val="1"/>
  </w:num>
  <w:num w:numId="4" w16cid:durableId="655037360">
    <w:abstractNumId w:val="9"/>
  </w:num>
  <w:num w:numId="5" w16cid:durableId="225724394">
    <w:abstractNumId w:val="8"/>
  </w:num>
  <w:num w:numId="6" w16cid:durableId="986204523">
    <w:abstractNumId w:val="4"/>
  </w:num>
  <w:num w:numId="7" w16cid:durableId="670567915">
    <w:abstractNumId w:val="7"/>
  </w:num>
  <w:num w:numId="8" w16cid:durableId="1171944282">
    <w:abstractNumId w:val="0"/>
  </w:num>
  <w:num w:numId="9" w16cid:durableId="464129628">
    <w:abstractNumId w:val="6"/>
  </w:num>
  <w:num w:numId="10" w16cid:durableId="1193611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numFmt w:val="lowerRoman"/>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7A"/>
    <w:rsid w:val="00066F95"/>
    <w:rsid w:val="004B67B3"/>
    <w:rsid w:val="00617331"/>
    <w:rsid w:val="00743BEB"/>
    <w:rsid w:val="00832FD5"/>
    <w:rsid w:val="008A2B7A"/>
    <w:rsid w:val="009B78F5"/>
    <w:rsid w:val="00BE276F"/>
    <w:rsid w:val="00D82C37"/>
    <w:rsid w:val="00DE6102"/>
    <w:rsid w:val="00E849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11CA6"/>
  <w15:docId w15:val="{E6BD5D39-0156-4CB8-BAC1-3CB4D51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jc w:val="both"/>
      <w:textAlignment w:val="baseline"/>
      <w:outlineLvl w:val="0"/>
    </w:pPr>
    <w:rPr>
      <w:rFonts w:ascii="함초롬바탕" w:eastAsia="함초롬바탕"/>
      <w:color w:val="000000"/>
      <w:sz w:val="2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jc w:val="both"/>
      <w:textAlignment w:val="baseline"/>
      <w:outlineLvl w:val="1"/>
    </w:pPr>
    <w:rPr>
      <w:rFonts w:ascii="함초롬바탕" w:eastAsia="함초롬바탕"/>
      <w:color w:val="000000"/>
      <w:sz w:val="2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jc w:val="both"/>
      <w:textAlignment w:val="baseline"/>
      <w:outlineLvl w:val="2"/>
    </w:pPr>
    <w:rPr>
      <w:rFonts w:ascii="함초롬바탕" w:eastAsia="함초롬바탕"/>
      <w:color w:val="000000"/>
      <w:sz w:val="2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jc w:val="both"/>
      <w:textAlignment w:val="baseline"/>
      <w:outlineLvl w:val="3"/>
    </w:pPr>
    <w:rPr>
      <w:rFonts w:ascii="함초롬바탕" w:eastAsia="함초롬바탕"/>
      <w:color w:val="000000"/>
      <w:sz w:val="2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jc w:val="both"/>
      <w:textAlignment w:val="baseline"/>
      <w:outlineLvl w:val="4"/>
    </w:pPr>
    <w:rPr>
      <w:rFonts w:ascii="함초롬바탕" w:eastAsia="함초롬바탕"/>
      <w:color w:val="000000"/>
      <w:sz w:val="2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jc w:val="both"/>
      <w:textAlignment w:val="baseline"/>
      <w:outlineLvl w:val="5"/>
    </w:pPr>
    <w:rPr>
      <w:rFonts w:ascii="함초롬바탕" w:eastAsia="함초롬바탕"/>
      <w:color w:val="000000"/>
      <w:sz w:val="2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jc w:val="both"/>
      <w:textAlignment w:val="baseline"/>
      <w:outlineLvl w:val="6"/>
    </w:pPr>
    <w:rPr>
      <w:rFonts w:ascii="함초롬바탕" w:eastAsia="함초롬바탕"/>
      <w:color w:val="000000"/>
      <w:sz w:val="20"/>
      <w:shd w:val="clear" w:color="999999" w:fill="auto"/>
    </w:rPr>
  </w:style>
  <w:style w:type="paragraph" w:customStyle="1" w:styleId="8">
    <w:name w:val="개요 8"/>
    <w:uiPriority w:val="9"/>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jc w:val="both"/>
      <w:textAlignment w:val="baseline"/>
      <w:outlineLvl w:val="6"/>
    </w:pPr>
    <w:rPr>
      <w:rFonts w:ascii="함초롬바탕" w:eastAsia="함초롬바탕"/>
      <w:color w:val="000000"/>
      <w:sz w:val="20"/>
      <w:shd w:val="clear" w:color="999999" w:fill="auto"/>
    </w:rPr>
  </w:style>
  <w:style w:type="paragraph" w:customStyle="1" w:styleId="9">
    <w:name w:val="개요 9"/>
    <w:uiPriority w:val="10"/>
    <w:pPr>
      <w:widowControl w:val="0"/>
      <w:numPr>
        <w:ilvl w:val="6"/>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jc w:val="both"/>
      <w:textAlignment w:val="baseline"/>
      <w:outlineLvl w:val="6"/>
    </w:pPr>
    <w:rPr>
      <w:rFonts w:ascii="함초롬바탕" w:eastAsia="함초롬바탕"/>
      <w:color w:val="000000"/>
      <w:sz w:val="20"/>
      <w:shd w:val="clear" w:color="999999" w:fill="auto"/>
    </w:rPr>
  </w:style>
  <w:style w:type="paragraph" w:customStyle="1" w:styleId="10">
    <w:name w:val="개요 10"/>
    <w:uiPriority w:val="11"/>
    <w:pPr>
      <w:widowControl w:val="0"/>
      <w:numPr>
        <w:ilvl w:val="6"/>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jc w:val="both"/>
      <w:textAlignment w:val="baseline"/>
      <w:outlineLvl w:val="6"/>
    </w:pPr>
    <w:rPr>
      <w:rFonts w:ascii="함초롬바탕" w:eastAsia="함초롬바탕"/>
      <w:color w:val="000000"/>
      <w:sz w:val="2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both"/>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hd w:val="clear" w:color="999999" w:fill="auto"/>
    </w:rPr>
  </w:style>
  <w:style w:type="paragraph" w:styleId="ab">
    <w:name w:val="caption"/>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jc w:val="both"/>
      <w:textAlignment w:val="baseline"/>
    </w:pPr>
    <w:rPr>
      <w:rFonts w:ascii="함초롬바탕" w:eastAsia="함초롬바탕"/>
      <w:color w:val="000000"/>
      <w:sz w:val="20"/>
      <w:shd w:val="clear" w:color="999999"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법원은 국제재판권의 유무를 판단함에 있어 소송당사자들의 공평</vt:lpstr>
      <vt:lpstr>법원은 국제재판권의 유무를 판단함에 있어 소송당사자들의 공평</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법원은 국제재판권의 유무를 판단함에 있어 소송당사자들의 공평</dc:title>
  <dc:creator>USER</dc:creator>
  <cp:keywords>, docId:96F7655917D82A795998D639DE79A956</cp:keywords>
  <cp:lastModifiedBy>吉垣 実</cp:lastModifiedBy>
  <cp:revision>2</cp:revision>
  <dcterms:created xsi:type="dcterms:W3CDTF">2024-03-14T01:20:00Z</dcterms:created>
  <dcterms:modified xsi:type="dcterms:W3CDTF">2024-03-14T01:20:00Z</dcterms:modified>
</cp:coreProperties>
</file>